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9" w:rsidRDefault="00A44F29" w:rsidP="00A44F29">
      <w:pPr>
        <w:pStyle w:val="NormalWeb"/>
      </w:pPr>
      <w:r>
        <w:t>Cùng Đọc tài liệu tham khảo tổng hợp từ vựng Unit 7 SGK Tiếng Anh 12 như sau:</w:t>
      </w:r>
    </w:p>
    <w:p w:rsidR="00A44F29" w:rsidRDefault="00A44F29" w:rsidP="00A44F29">
      <w:pPr>
        <w:pStyle w:val="Heading3"/>
      </w:pPr>
      <w:r>
        <w:t>Unit 7 lớp 12 Từ vựng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36"/>
        <w:gridCol w:w="3924"/>
      </w:tblGrid>
      <w:tr w:rsidR="00A44F29" w:rsidTr="00A44F29">
        <w:trPr>
          <w:tblHeader/>
          <w:tblCellSpacing w:w="15" w:type="dxa"/>
        </w:trPr>
        <w:tc>
          <w:tcPr>
            <w:tcW w:w="0" w:type="auto"/>
            <w:gridSpan w:val="2"/>
            <w:tcBorders>
              <w:top w:val="nil"/>
              <w:left w:val="nil"/>
              <w:bottom w:val="nil"/>
              <w:right w:val="nil"/>
            </w:tcBorders>
            <w:vAlign w:val="center"/>
            <w:hideMark/>
          </w:tcPr>
          <w:p w:rsidR="00A44F29" w:rsidRDefault="00A44F29">
            <w:pPr>
              <w:jc w:val="center"/>
              <w:rPr>
                <w:sz w:val="24"/>
                <w:szCs w:val="24"/>
              </w:rPr>
            </w:pPr>
            <w:r>
              <w:t>Bảng từ mới Unit 7 lớp 12 sách mới</w:t>
            </w:r>
          </w:p>
        </w:tc>
      </w:tr>
      <w:tr w:rsidR="00A44F29" w:rsidTr="00A44F29">
        <w:trPr>
          <w:tblHeader/>
          <w:tblCellSpacing w:w="15" w:type="dxa"/>
        </w:trPr>
        <w:tc>
          <w:tcPr>
            <w:tcW w:w="0" w:type="auto"/>
            <w:vAlign w:val="center"/>
            <w:hideMark/>
          </w:tcPr>
          <w:p w:rsidR="00A44F29" w:rsidRDefault="00A44F29">
            <w:pPr>
              <w:jc w:val="center"/>
              <w:rPr>
                <w:b/>
                <w:bCs/>
              </w:rPr>
            </w:pPr>
            <w:r>
              <w:rPr>
                <w:b/>
                <w:bCs/>
              </w:rPr>
              <w:t>Từ vựng</w:t>
            </w:r>
          </w:p>
        </w:tc>
        <w:tc>
          <w:tcPr>
            <w:tcW w:w="0" w:type="auto"/>
            <w:vAlign w:val="center"/>
            <w:hideMark/>
          </w:tcPr>
          <w:p w:rsidR="00A44F29" w:rsidRDefault="00A44F29">
            <w:pPr>
              <w:jc w:val="center"/>
              <w:rPr>
                <w:b/>
                <w:bCs/>
              </w:rPr>
            </w:pPr>
            <w:r>
              <w:rPr>
                <w:b/>
                <w:bCs/>
              </w:rPr>
              <w:t>Dịch nghĩa</w:t>
            </w:r>
          </w:p>
        </w:tc>
      </w:tr>
      <w:tr w:rsidR="00A44F29" w:rsidTr="00A44F29">
        <w:trPr>
          <w:tblCellSpacing w:w="15" w:type="dxa"/>
        </w:trPr>
        <w:tc>
          <w:tcPr>
            <w:tcW w:w="0" w:type="auto"/>
            <w:vAlign w:val="center"/>
            <w:hideMark/>
          </w:tcPr>
          <w:p w:rsidR="00A44F29" w:rsidRDefault="00A44F29">
            <w:r>
              <w:t>activate /ˈæktɪveɪt/(v)</w:t>
            </w:r>
          </w:p>
        </w:tc>
        <w:tc>
          <w:tcPr>
            <w:tcW w:w="0" w:type="auto"/>
            <w:vAlign w:val="center"/>
            <w:hideMark/>
          </w:tcPr>
          <w:p w:rsidR="00A44F29" w:rsidRDefault="00A44F29">
            <w:r>
              <w:t>kích hoạt</w:t>
            </w:r>
          </w:p>
        </w:tc>
      </w:tr>
      <w:tr w:rsidR="00A44F29" w:rsidTr="00A44F29">
        <w:trPr>
          <w:tblCellSpacing w:w="15" w:type="dxa"/>
        </w:trPr>
        <w:tc>
          <w:tcPr>
            <w:tcW w:w="0" w:type="auto"/>
            <w:vAlign w:val="center"/>
            <w:hideMark/>
          </w:tcPr>
          <w:p w:rsidR="00A44F29" w:rsidRDefault="00A44F29">
            <w:r>
              <w:t>algorithm /ˈælɡərɪðəm/(n)</w:t>
            </w:r>
          </w:p>
        </w:tc>
        <w:tc>
          <w:tcPr>
            <w:tcW w:w="0" w:type="auto"/>
            <w:vAlign w:val="center"/>
            <w:hideMark/>
          </w:tcPr>
          <w:p w:rsidR="00A44F29" w:rsidRDefault="00A44F29">
            <w:r>
              <w:t>thuật toán</w:t>
            </w:r>
          </w:p>
        </w:tc>
      </w:tr>
      <w:tr w:rsidR="00A44F29" w:rsidTr="00A44F29">
        <w:trPr>
          <w:tblCellSpacing w:w="15" w:type="dxa"/>
        </w:trPr>
        <w:tc>
          <w:tcPr>
            <w:tcW w:w="0" w:type="auto"/>
            <w:vAlign w:val="center"/>
            <w:hideMark/>
          </w:tcPr>
          <w:p w:rsidR="00A44F29" w:rsidRDefault="00A44F29">
            <w:r>
              <w:t>artificial intelligence /ˌɑːtɪfɪʃl ɪnˈtelɪɡəns/(n.phr)</w:t>
            </w:r>
          </w:p>
        </w:tc>
        <w:tc>
          <w:tcPr>
            <w:tcW w:w="0" w:type="auto"/>
            <w:vAlign w:val="center"/>
            <w:hideMark/>
          </w:tcPr>
          <w:p w:rsidR="00A44F29" w:rsidRDefault="00A44F29">
            <w:r>
              <w:t>trí tuệ nhân tạo</w:t>
            </w:r>
          </w:p>
        </w:tc>
      </w:tr>
      <w:tr w:rsidR="00A44F29" w:rsidTr="00A44F29">
        <w:trPr>
          <w:tblCellSpacing w:w="15" w:type="dxa"/>
        </w:trPr>
        <w:tc>
          <w:tcPr>
            <w:tcW w:w="0" w:type="auto"/>
            <w:vAlign w:val="center"/>
            <w:hideMark/>
          </w:tcPr>
          <w:p w:rsidR="00A44F29" w:rsidRDefault="00A44F29">
            <w:r>
              <w:t>automated /ˈɔːtəmeɪtɪd/(a)</w:t>
            </w:r>
          </w:p>
        </w:tc>
        <w:tc>
          <w:tcPr>
            <w:tcW w:w="0" w:type="auto"/>
            <w:vAlign w:val="center"/>
            <w:hideMark/>
          </w:tcPr>
          <w:p w:rsidR="00A44F29" w:rsidRDefault="00A44F29">
            <w:r>
              <w:t>tự động</w:t>
            </w:r>
          </w:p>
        </w:tc>
      </w:tr>
      <w:tr w:rsidR="00A44F29" w:rsidTr="00A44F29">
        <w:trPr>
          <w:tblCellSpacing w:w="15" w:type="dxa"/>
        </w:trPr>
        <w:tc>
          <w:tcPr>
            <w:tcW w:w="0" w:type="auto"/>
            <w:vAlign w:val="center"/>
            <w:hideMark/>
          </w:tcPr>
          <w:p w:rsidR="00A44F29" w:rsidRDefault="00A44F29">
            <w:r>
              <w:t>call for /kɔːl fɔː(r)/(v)</w:t>
            </w:r>
          </w:p>
        </w:tc>
        <w:tc>
          <w:tcPr>
            <w:tcW w:w="0" w:type="auto"/>
            <w:vAlign w:val="center"/>
            <w:hideMark/>
          </w:tcPr>
          <w:p w:rsidR="00A44F29" w:rsidRDefault="00A44F29">
            <w:r>
              <w:t>kêu gọi</w:t>
            </w:r>
          </w:p>
        </w:tc>
      </w:tr>
      <w:tr w:rsidR="00A44F29" w:rsidTr="00A44F29">
        <w:trPr>
          <w:tblCellSpacing w:w="15" w:type="dxa"/>
        </w:trPr>
        <w:tc>
          <w:tcPr>
            <w:tcW w:w="0" w:type="auto"/>
            <w:vAlign w:val="center"/>
            <w:hideMark/>
          </w:tcPr>
          <w:p w:rsidR="00A44F29" w:rsidRDefault="00A44F29">
            <w:r>
              <w:t>cyber-attack /ˈsaɪbərətæk/(n)</w:t>
            </w:r>
          </w:p>
        </w:tc>
        <w:tc>
          <w:tcPr>
            <w:tcW w:w="0" w:type="auto"/>
            <w:vAlign w:val="center"/>
            <w:hideMark/>
          </w:tcPr>
          <w:p w:rsidR="00A44F29" w:rsidRDefault="00A44F29">
            <w:r>
              <w:t>tấn công mạng</w:t>
            </w:r>
          </w:p>
        </w:tc>
      </w:tr>
      <w:tr w:rsidR="00A44F29" w:rsidTr="00A44F29">
        <w:trPr>
          <w:tblCellSpacing w:w="15" w:type="dxa"/>
        </w:trPr>
        <w:tc>
          <w:tcPr>
            <w:tcW w:w="0" w:type="auto"/>
            <w:vAlign w:val="center"/>
            <w:hideMark/>
          </w:tcPr>
          <w:p w:rsidR="00A44F29" w:rsidRDefault="00A44F29">
            <w:r>
              <w:t>exterminate /ɪkˈstɜːmɪneɪt/ (v)</w:t>
            </w:r>
          </w:p>
        </w:tc>
        <w:tc>
          <w:tcPr>
            <w:tcW w:w="0" w:type="auto"/>
            <w:vAlign w:val="center"/>
            <w:hideMark/>
          </w:tcPr>
          <w:p w:rsidR="00A44F29" w:rsidRDefault="00A44F29">
            <w:r>
              <w:t>tiêu diệt</w:t>
            </w:r>
          </w:p>
        </w:tc>
      </w:tr>
      <w:tr w:rsidR="00A44F29" w:rsidTr="00A44F29">
        <w:trPr>
          <w:tblCellSpacing w:w="15" w:type="dxa"/>
        </w:trPr>
        <w:tc>
          <w:tcPr>
            <w:tcW w:w="0" w:type="auto"/>
            <w:vAlign w:val="center"/>
            <w:hideMark/>
          </w:tcPr>
          <w:p w:rsidR="00A44F29" w:rsidRDefault="00A44F29">
            <w:r>
              <w:t>faraway /ˈfɑːrəweɪ/ (a)</w:t>
            </w:r>
          </w:p>
        </w:tc>
        <w:tc>
          <w:tcPr>
            <w:tcW w:w="0" w:type="auto"/>
            <w:vAlign w:val="center"/>
            <w:hideMark/>
          </w:tcPr>
          <w:p w:rsidR="00A44F29" w:rsidRDefault="00A44F29">
            <w:r>
              <w:t>xa xôi</w:t>
            </w:r>
          </w:p>
        </w:tc>
      </w:tr>
      <w:tr w:rsidR="00A44F29" w:rsidTr="00A44F29">
        <w:trPr>
          <w:tblCellSpacing w:w="15" w:type="dxa"/>
        </w:trPr>
        <w:tc>
          <w:tcPr>
            <w:tcW w:w="0" w:type="auto"/>
            <w:vAlign w:val="center"/>
            <w:hideMark/>
          </w:tcPr>
          <w:p w:rsidR="00A44F29" w:rsidRDefault="00A44F29">
            <w:r>
              <w:t>hacker /ˈhækə(r)/(n)</w:t>
            </w:r>
          </w:p>
        </w:tc>
        <w:tc>
          <w:tcPr>
            <w:tcW w:w="0" w:type="auto"/>
            <w:vAlign w:val="center"/>
            <w:hideMark/>
          </w:tcPr>
          <w:p w:rsidR="00A44F29" w:rsidRDefault="00A44F29">
            <w:r>
              <w:t>tin tặc</w:t>
            </w:r>
            <w:bookmarkStart w:id="0" w:name="_GoBack"/>
            <w:bookmarkEnd w:id="0"/>
          </w:p>
        </w:tc>
      </w:tr>
      <w:tr w:rsidR="00A44F29" w:rsidTr="00A44F29">
        <w:trPr>
          <w:tblCellSpacing w:w="15" w:type="dxa"/>
        </w:trPr>
        <w:tc>
          <w:tcPr>
            <w:tcW w:w="0" w:type="auto"/>
            <w:vAlign w:val="center"/>
            <w:hideMark/>
          </w:tcPr>
          <w:p w:rsidR="00A44F29" w:rsidRDefault="00A44F29">
            <w:r>
              <w:t>implant /ɪmˈplɑːnt/ (v)</w:t>
            </w:r>
          </w:p>
        </w:tc>
        <w:tc>
          <w:tcPr>
            <w:tcW w:w="0" w:type="auto"/>
            <w:vAlign w:val="center"/>
            <w:hideMark/>
          </w:tcPr>
          <w:p w:rsidR="00A44F29" w:rsidRDefault="00A44F29">
            <w:r>
              <w:t>cấy ghép</w:t>
            </w:r>
          </w:p>
        </w:tc>
      </w:tr>
      <w:tr w:rsidR="00A44F29" w:rsidTr="00A44F29">
        <w:trPr>
          <w:tblCellSpacing w:w="15" w:type="dxa"/>
        </w:trPr>
        <w:tc>
          <w:tcPr>
            <w:tcW w:w="0" w:type="auto"/>
            <w:vAlign w:val="center"/>
            <w:hideMark/>
          </w:tcPr>
          <w:p w:rsidR="00A44F29" w:rsidRDefault="00A44F29">
            <w:r>
              <w:t>incredible /ɪnˈkredəbl/ (a)</w:t>
            </w:r>
          </w:p>
        </w:tc>
        <w:tc>
          <w:tcPr>
            <w:tcW w:w="0" w:type="auto"/>
            <w:vAlign w:val="center"/>
            <w:hideMark/>
          </w:tcPr>
          <w:p w:rsidR="00A44F29" w:rsidRDefault="00A44F29">
            <w:r>
              <w:t>đáng kinh ngạc</w:t>
            </w:r>
          </w:p>
        </w:tc>
      </w:tr>
      <w:tr w:rsidR="00A44F29" w:rsidTr="00A44F29">
        <w:trPr>
          <w:tblCellSpacing w:w="15" w:type="dxa"/>
        </w:trPr>
        <w:tc>
          <w:tcPr>
            <w:tcW w:w="0" w:type="auto"/>
            <w:vAlign w:val="center"/>
            <w:hideMark/>
          </w:tcPr>
          <w:p w:rsidR="00A44F29" w:rsidRDefault="00A44F29">
            <w:r>
              <w:t>intervention /ˌɪntəˈvenʃn/(n)</w:t>
            </w:r>
          </w:p>
        </w:tc>
        <w:tc>
          <w:tcPr>
            <w:tcW w:w="0" w:type="auto"/>
            <w:vAlign w:val="center"/>
            <w:hideMark/>
          </w:tcPr>
          <w:p w:rsidR="00A44F29" w:rsidRDefault="00A44F29">
            <w:r>
              <w:t>sự can thiệp</w:t>
            </w:r>
          </w:p>
        </w:tc>
      </w:tr>
      <w:tr w:rsidR="00A44F29" w:rsidTr="00A44F29">
        <w:trPr>
          <w:tblCellSpacing w:w="15" w:type="dxa"/>
        </w:trPr>
        <w:tc>
          <w:tcPr>
            <w:tcW w:w="0" w:type="auto"/>
            <w:vAlign w:val="center"/>
            <w:hideMark/>
          </w:tcPr>
          <w:p w:rsidR="00A44F29" w:rsidRDefault="00A44F29">
            <w:r>
              <w:t>malfunction /ˌmælˈfʌŋkʃn/ (n)</w:t>
            </w:r>
          </w:p>
        </w:tc>
        <w:tc>
          <w:tcPr>
            <w:tcW w:w="0" w:type="auto"/>
            <w:vAlign w:val="center"/>
            <w:hideMark/>
          </w:tcPr>
          <w:p w:rsidR="00A44F29" w:rsidRDefault="00A44F29">
            <w:r>
              <w:t>sự trục trặc</w:t>
            </w:r>
          </w:p>
        </w:tc>
      </w:tr>
      <w:tr w:rsidR="00A44F29" w:rsidTr="00A44F29">
        <w:trPr>
          <w:tblCellSpacing w:w="15" w:type="dxa"/>
        </w:trPr>
        <w:tc>
          <w:tcPr>
            <w:tcW w:w="0" w:type="auto"/>
            <w:vAlign w:val="center"/>
            <w:hideMark/>
          </w:tcPr>
          <w:p w:rsidR="00A44F29" w:rsidRDefault="00A44F29">
            <w:r>
              <w:t>navigation /ˌnævɪˈɡeɪʃn/ (n)</w:t>
            </w:r>
          </w:p>
        </w:tc>
        <w:tc>
          <w:tcPr>
            <w:tcW w:w="0" w:type="auto"/>
            <w:vAlign w:val="center"/>
            <w:hideMark/>
          </w:tcPr>
          <w:p w:rsidR="00A44F29" w:rsidRDefault="00A44F29">
            <w:r>
              <w:t>sự đi lại trên biển hoặc trên không</w:t>
            </w:r>
          </w:p>
        </w:tc>
      </w:tr>
      <w:tr w:rsidR="00A44F29" w:rsidTr="00A44F29">
        <w:trPr>
          <w:tblCellSpacing w:w="15" w:type="dxa"/>
        </w:trPr>
        <w:tc>
          <w:tcPr>
            <w:tcW w:w="0" w:type="auto"/>
            <w:vAlign w:val="center"/>
            <w:hideMark/>
          </w:tcPr>
          <w:p w:rsidR="00A44F29" w:rsidRDefault="00A44F29">
            <w:r>
              <w:t>overpopulation /ˌəʊvəˌpɒpjuˈleɪʃn/(n)</w:t>
            </w:r>
          </w:p>
        </w:tc>
        <w:tc>
          <w:tcPr>
            <w:tcW w:w="0" w:type="auto"/>
            <w:vAlign w:val="center"/>
            <w:hideMark/>
          </w:tcPr>
          <w:p w:rsidR="00A44F29" w:rsidRDefault="00A44F29">
            <w:r>
              <w:t>sự quá tải dân số</w:t>
            </w:r>
          </w:p>
        </w:tc>
      </w:tr>
      <w:tr w:rsidR="00A44F29" w:rsidTr="00A44F29">
        <w:trPr>
          <w:tblCellSpacing w:w="15" w:type="dxa"/>
        </w:trPr>
        <w:tc>
          <w:tcPr>
            <w:tcW w:w="0" w:type="auto"/>
            <w:vAlign w:val="center"/>
            <w:hideMark/>
          </w:tcPr>
          <w:p w:rsidR="00A44F29" w:rsidRDefault="00A44F29">
            <w:r>
              <w:t>resurrect /ˌrezəˈrekt/(v)</w:t>
            </w:r>
          </w:p>
        </w:tc>
        <w:tc>
          <w:tcPr>
            <w:tcW w:w="0" w:type="auto"/>
            <w:vAlign w:val="center"/>
            <w:hideMark/>
          </w:tcPr>
          <w:p w:rsidR="00A44F29" w:rsidRDefault="00A44F29">
            <w:r>
              <w:t>làm sống lại, phục hồi</w:t>
            </w:r>
          </w:p>
        </w:tc>
      </w:tr>
      <w:tr w:rsidR="00A44F29" w:rsidTr="00A44F29">
        <w:trPr>
          <w:tblCellSpacing w:w="15" w:type="dxa"/>
        </w:trPr>
        <w:tc>
          <w:tcPr>
            <w:tcW w:w="0" w:type="auto"/>
            <w:vAlign w:val="center"/>
            <w:hideMark/>
          </w:tcPr>
          <w:p w:rsidR="00A44F29" w:rsidRDefault="00A44F29">
            <w:r>
              <w:t>unbelievable /ˌʌnbɪˈliːvəbl/ (a)</w:t>
            </w:r>
          </w:p>
        </w:tc>
        <w:tc>
          <w:tcPr>
            <w:tcW w:w="0" w:type="auto"/>
            <w:vAlign w:val="center"/>
            <w:hideMark/>
          </w:tcPr>
          <w:p w:rsidR="00A44F29" w:rsidRDefault="00A44F29">
            <w:r>
              <w:t>khó tin</w:t>
            </w:r>
          </w:p>
        </w:tc>
      </w:tr>
    </w:tbl>
    <w:p w:rsidR="00A44F29" w:rsidRDefault="00A44F29" w:rsidP="00A44F29">
      <w:pPr>
        <w:pStyle w:val="NormalWeb"/>
      </w:pPr>
      <w:r>
        <w:t>Trên đây là tổng hợp các từ vựng có trong Unit 7 lớp 12 mà các em cần ghi nhớ. Để ghi nhớ tốt hơn kiến thức các em có thể tải file tải liệu đính kèm bên dưới nhé!</w:t>
      </w:r>
    </w:p>
    <w:p w:rsidR="00A44F29" w:rsidRDefault="00A44F29" w:rsidP="00A44F29">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414D61" w:rsidRPr="00A44F29" w:rsidRDefault="00414D61" w:rsidP="00A44F29"/>
    <w:sectPr w:rsidR="00414D61" w:rsidRPr="00A44F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37" w:rsidRDefault="00A40337" w:rsidP="0095332C">
      <w:pPr>
        <w:spacing w:after="0" w:line="240" w:lineRule="auto"/>
      </w:pPr>
      <w:r>
        <w:separator/>
      </w:r>
    </w:p>
  </w:endnote>
  <w:endnote w:type="continuationSeparator" w:id="0">
    <w:p w:rsidR="00A40337" w:rsidRDefault="00A40337" w:rsidP="0095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37" w:rsidRDefault="00A40337" w:rsidP="0095332C">
      <w:pPr>
        <w:spacing w:after="0" w:line="240" w:lineRule="auto"/>
      </w:pPr>
      <w:r>
        <w:separator/>
      </w:r>
    </w:p>
  </w:footnote>
  <w:footnote w:type="continuationSeparator" w:id="0">
    <w:p w:rsidR="00A40337" w:rsidRDefault="00A40337" w:rsidP="00953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32C" w:rsidRPr="00A44F29" w:rsidRDefault="00A44F29" w:rsidP="00A44F29">
    <w:pPr>
      <w:pStyle w:val="Header"/>
    </w:pPr>
    <w:hyperlink r:id="rId1" w:history="1">
      <w:r w:rsidRPr="00A44F29">
        <w:rPr>
          <w:rStyle w:val="Hyperlink"/>
        </w:rPr>
        <w:t>Unit 7 lớp 12 Từ vựng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2C"/>
    <w:rsid w:val="0001583F"/>
    <w:rsid w:val="00371CE6"/>
    <w:rsid w:val="00414D61"/>
    <w:rsid w:val="004711D9"/>
    <w:rsid w:val="0095332C"/>
    <w:rsid w:val="00A40337"/>
    <w:rsid w:val="00A44F29"/>
    <w:rsid w:val="00DB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73ED2-739E-4D04-B2A6-5D795E25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3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33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33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32C"/>
    <w:rPr>
      <w:i/>
      <w:iCs/>
    </w:rPr>
  </w:style>
  <w:style w:type="character" w:styleId="Hyperlink">
    <w:name w:val="Hyperlink"/>
    <w:basedOn w:val="DefaultParagraphFont"/>
    <w:uiPriority w:val="99"/>
    <w:unhideWhenUsed/>
    <w:rsid w:val="0095332C"/>
    <w:rPr>
      <w:color w:val="0000FF"/>
      <w:u w:val="single"/>
    </w:rPr>
  </w:style>
  <w:style w:type="paragraph" w:styleId="Header">
    <w:name w:val="header"/>
    <w:basedOn w:val="Normal"/>
    <w:link w:val="HeaderChar"/>
    <w:uiPriority w:val="99"/>
    <w:unhideWhenUsed/>
    <w:rsid w:val="00953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32C"/>
  </w:style>
  <w:style w:type="paragraph" w:styleId="Footer">
    <w:name w:val="footer"/>
    <w:basedOn w:val="Normal"/>
    <w:link w:val="FooterChar"/>
    <w:uiPriority w:val="99"/>
    <w:unhideWhenUsed/>
    <w:rsid w:val="0095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9123">
      <w:bodyDiv w:val="1"/>
      <w:marLeft w:val="0"/>
      <w:marRight w:val="0"/>
      <w:marTop w:val="0"/>
      <w:marBottom w:val="0"/>
      <w:divBdr>
        <w:top w:val="none" w:sz="0" w:space="0" w:color="auto"/>
        <w:left w:val="none" w:sz="0" w:space="0" w:color="auto"/>
        <w:bottom w:val="none" w:sz="0" w:space="0" w:color="auto"/>
        <w:right w:val="none" w:sz="0" w:space="0" w:color="auto"/>
      </w:divBdr>
    </w:div>
    <w:div w:id="505750257">
      <w:bodyDiv w:val="1"/>
      <w:marLeft w:val="0"/>
      <w:marRight w:val="0"/>
      <w:marTop w:val="0"/>
      <w:marBottom w:val="0"/>
      <w:divBdr>
        <w:top w:val="none" w:sz="0" w:space="0" w:color="auto"/>
        <w:left w:val="none" w:sz="0" w:space="0" w:color="auto"/>
        <w:bottom w:val="none" w:sz="0" w:space="0" w:color="auto"/>
        <w:right w:val="none" w:sz="0" w:space="0" w:color="auto"/>
      </w:divBdr>
    </w:div>
    <w:div w:id="588782137">
      <w:bodyDiv w:val="1"/>
      <w:marLeft w:val="0"/>
      <w:marRight w:val="0"/>
      <w:marTop w:val="0"/>
      <w:marBottom w:val="0"/>
      <w:divBdr>
        <w:top w:val="none" w:sz="0" w:space="0" w:color="auto"/>
        <w:left w:val="none" w:sz="0" w:space="0" w:color="auto"/>
        <w:bottom w:val="none" w:sz="0" w:space="0" w:color="auto"/>
        <w:right w:val="none" w:sz="0" w:space="0" w:color="auto"/>
      </w:divBdr>
    </w:div>
    <w:div w:id="766271199">
      <w:bodyDiv w:val="1"/>
      <w:marLeft w:val="0"/>
      <w:marRight w:val="0"/>
      <w:marTop w:val="0"/>
      <w:marBottom w:val="0"/>
      <w:divBdr>
        <w:top w:val="none" w:sz="0" w:space="0" w:color="auto"/>
        <w:left w:val="none" w:sz="0" w:space="0" w:color="auto"/>
        <w:bottom w:val="none" w:sz="0" w:space="0" w:color="auto"/>
        <w:right w:val="none" w:sz="0" w:space="0" w:color="auto"/>
      </w:divBdr>
    </w:div>
    <w:div w:id="1281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7-lop-12-tu-vung-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Unit 5 lớp 12 Từ vựng sách mới</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lớp 12 Từ vựng sách mới</dc:title>
  <dc:subject>Unit 7 lớp 12 Từ vựng với tổng hợp tất cả từ mới bám sát theo chương trình sách giáo khoa Tiếng Anh 12 mới nhất của Bộ giáo dục mà em cần ghi nhớ.</dc:subject>
  <dc:creator>doctailieu.com</dc:creator>
  <cp:keywords>Unit 7 lớp 12</cp:keywords>
  <dc:description/>
  <cp:lastModifiedBy>Microsoft account</cp:lastModifiedBy>
  <cp:revision>2</cp:revision>
  <cp:lastPrinted>2022-02-08T01:29:00Z</cp:lastPrinted>
  <dcterms:created xsi:type="dcterms:W3CDTF">2022-02-08T01:55:00Z</dcterms:created>
  <dcterms:modified xsi:type="dcterms:W3CDTF">2022-02-08T01:55:00Z</dcterms:modified>
</cp:coreProperties>
</file>