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92" w:rsidRDefault="00564092" w:rsidP="00564092">
      <w:pPr>
        <w:pStyle w:val="NormalWeb"/>
      </w:pPr>
      <w:r>
        <w:t>Cùng Đọc tài liệu tham khảo tổng hợp từ vựng Unit 10 SGK Tiếng Anh 12 như sau:</w:t>
      </w:r>
    </w:p>
    <w:p w:rsidR="00564092" w:rsidRDefault="00564092" w:rsidP="00564092">
      <w:pPr>
        <w:pStyle w:val="Heading3"/>
      </w:pPr>
      <w:r>
        <w:t>Unit 10 lớp 12 Từ vựng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4"/>
        <w:gridCol w:w="4816"/>
      </w:tblGrid>
      <w:tr w:rsidR="00564092" w:rsidTr="00564092">
        <w:trPr>
          <w:tblHeader/>
          <w:tblCellSpacing w:w="15" w:type="dxa"/>
        </w:trPr>
        <w:tc>
          <w:tcPr>
            <w:tcW w:w="0" w:type="auto"/>
            <w:gridSpan w:val="2"/>
            <w:vAlign w:val="center"/>
            <w:hideMark/>
          </w:tcPr>
          <w:p w:rsidR="00564092" w:rsidRDefault="00564092">
            <w:pPr>
              <w:jc w:val="center"/>
              <w:rPr>
                <w:sz w:val="24"/>
                <w:szCs w:val="24"/>
              </w:rPr>
            </w:pPr>
            <w:r>
              <w:t>Bảng từ mới Unit 10 lớp 12 sách mới</w:t>
            </w:r>
          </w:p>
        </w:tc>
      </w:tr>
      <w:tr w:rsidR="00564092" w:rsidTr="00564092">
        <w:trPr>
          <w:tblHeader/>
          <w:tblCellSpacing w:w="15" w:type="dxa"/>
        </w:trPr>
        <w:tc>
          <w:tcPr>
            <w:tcW w:w="0" w:type="auto"/>
            <w:vAlign w:val="center"/>
            <w:hideMark/>
          </w:tcPr>
          <w:p w:rsidR="00564092" w:rsidRDefault="00564092">
            <w:pPr>
              <w:jc w:val="center"/>
              <w:rPr>
                <w:b/>
                <w:bCs/>
              </w:rPr>
            </w:pPr>
            <w:r>
              <w:rPr>
                <w:b/>
                <w:bCs/>
              </w:rPr>
              <w:t>Từ vựng</w:t>
            </w:r>
          </w:p>
        </w:tc>
        <w:tc>
          <w:tcPr>
            <w:tcW w:w="0" w:type="auto"/>
            <w:vAlign w:val="center"/>
            <w:hideMark/>
          </w:tcPr>
          <w:p w:rsidR="00564092" w:rsidRDefault="00564092">
            <w:pPr>
              <w:jc w:val="center"/>
              <w:rPr>
                <w:b/>
                <w:bCs/>
              </w:rPr>
            </w:pPr>
            <w:r>
              <w:rPr>
                <w:b/>
                <w:bCs/>
              </w:rPr>
              <w:t>Dịch nghĩa</w:t>
            </w:r>
          </w:p>
        </w:tc>
      </w:tr>
      <w:tr w:rsidR="00564092" w:rsidTr="00564092">
        <w:trPr>
          <w:tblCellSpacing w:w="15" w:type="dxa"/>
        </w:trPr>
        <w:tc>
          <w:tcPr>
            <w:tcW w:w="0" w:type="auto"/>
            <w:vAlign w:val="center"/>
            <w:hideMark/>
          </w:tcPr>
          <w:p w:rsidR="00564092" w:rsidRDefault="00564092">
            <w:r>
              <w:t>adequate /ˈædɪkwət/ (a)</w:t>
            </w:r>
          </w:p>
        </w:tc>
        <w:tc>
          <w:tcPr>
            <w:tcW w:w="0" w:type="auto"/>
            <w:vAlign w:val="center"/>
            <w:hideMark/>
          </w:tcPr>
          <w:p w:rsidR="00564092" w:rsidRDefault="00564092">
            <w:r>
              <w:t>thỏa đáng, phù hợp</w:t>
            </w:r>
          </w:p>
        </w:tc>
      </w:tr>
      <w:tr w:rsidR="00564092" w:rsidTr="00564092">
        <w:trPr>
          <w:tblCellSpacing w:w="15" w:type="dxa"/>
        </w:trPr>
        <w:tc>
          <w:tcPr>
            <w:tcW w:w="0" w:type="auto"/>
            <w:vAlign w:val="center"/>
            <w:hideMark/>
          </w:tcPr>
          <w:p w:rsidR="00564092" w:rsidRDefault="00564092">
            <w:r>
              <w:t>e-learning /ˈiː lɜːnɪŋ/(n)</w:t>
            </w:r>
          </w:p>
        </w:tc>
        <w:tc>
          <w:tcPr>
            <w:tcW w:w="0" w:type="auto"/>
            <w:vAlign w:val="center"/>
            <w:hideMark/>
          </w:tcPr>
          <w:p w:rsidR="00564092" w:rsidRDefault="00564092">
            <w:r>
              <w:t>hình thức học trực tuyến</w:t>
            </w:r>
          </w:p>
        </w:tc>
      </w:tr>
      <w:tr w:rsidR="00564092" w:rsidTr="00564092">
        <w:trPr>
          <w:tblCellSpacing w:w="15" w:type="dxa"/>
        </w:trPr>
        <w:tc>
          <w:tcPr>
            <w:tcW w:w="0" w:type="auto"/>
            <w:vAlign w:val="center"/>
            <w:hideMark/>
          </w:tcPr>
          <w:p w:rsidR="00564092" w:rsidRDefault="00564092">
            <w:r>
              <w:t>employable /ɪmˈplɔɪəbl/ (a)</w:t>
            </w:r>
          </w:p>
        </w:tc>
        <w:tc>
          <w:tcPr>
            <w:tcW w:w="0" w:type="auto"/>
            <w:vAlign w:val="center"/>
            <w:hideMark/>
          </w:tcPr>
          <w:p w:rsidR="00564092" w:rsidRDefault="00564092">
            <w:r>
              <w:t>có thể được thuê làm việc</w:t>
            </w:r>
          </w:p>
        </w:tc>
      </w:tr>
      <w:tr w:rsidR="00564092" w:rsidTr="00564092">
        <w:trPr>
          <w:tblCellSpacing w:w="15" w:type="dxa"/>
        </w:trPr>
        <w:tc>
          <w:tcPr>
            <w:tcW w:w="0" w:type="auto"/>
            <w:vAlign w:val="center"/>
            <w:hideMark/>
          </w:tcPr>
          <w:p w:rsidR="00564092" w:rsidRDefault="00564092">
            <w:r>
              <w:t>facilitate /fəˈsɪlɪteɪt/ (v)</w:t>
            </w:r>
          </w:p>
        </w:tc>
        <w:tc>
          <w:tcPr>
            <w:tcW w:w="0" w:type="auto"/>
            <w:vAlign w:val="center"/>
            <w:hideMark/>
          </w:tcPr>
          <w:p w:rsidR="00564092" w:rsidRDefault="00564092">
            <w:r>
              <w:t>tạo điều kiện thuận lợi</w:t>
            </w:r>
          </w:p>
        </w:tc>
      </w:tr>
      <w:tr w:rsidR="00564092" w:rsidTr="00564092">
        <w:trPr>
          <w:tblCellSpacing w:w="15" w:type="dxa"/>
        </w:trPr>
        <w:tc>
          <w:tcPr>
            <w:tcW w:w="0" w:type="auto"/>
            <w:vAlign w:val="center"/>
            <w:hideMark/>
          </w:tcPr>
          <w:p w:rsidR="00564092" w:rsidRDefault="00564092">
            <w:r>
              <w:t>flexibility /ˌfleksəˈbɪləti/(n)</w:t>
            </w:r>
          </w:p>
        </w:tc>
        <w:tc>
          <w:tcPr>
            <w:tcW w:w="0" w:type="auto"/>
            <w:vAlign w:val="center"/>
            <w:hideMark/>
          </w:tcPr>
          <w:p w:rsidR="00564092" w:rsidRDefault="00564092">
            <w:r>
              <w:t>tính linh động</w:t>
            </w:r>
          </w:p>
        </w:tc>
      </w:tr>
      <w:tr w:rsidR="00564092" w:rsidTr="00564092">
        <w:trPr>
          <w:tblCellSpacing w:w="15" w:type="dxa"/>
        </w:trPr>
        <w:tc>
          <w:tcPr>
            <w:tcW w:w="0" w:type="auto"/>
            <w:vAlign w:val="center"/>
            <w:hideMark/>
          </w:tcPr>
          <w:p w:rsidR="00564092" w:rsidRDefault="00564092">
            <w:r>
              <w:t>genius /ˈdʒiːniəs/ (n)</w:t>
            </w:r>
          </w:p>
        </w:tc>
        <w:tc>
          <w:tcPr>
            <w:tcW w:w="0" w:type="auto"/>
            <w:vAlign w:val="center"/>
            <w:hideMark/>
          </w:tcPr>
          <w:p w:rsidR="00564092" w:rsidRDefault="00564092">
            <w:r>
              <w:t>thiên tài</w:t>
            </w:r>
          </w:p>
        </w:tc>
      </w:tr>
      <w:tr w:rsidR="00564092" w:rsidTr="00564092">
        <w:trPr>
          <w:tblCellSpacing w:w="15" w:type="dxa"/>
        </w:trPr>
        <w:tc>
          <w:tcPr>
            <w:tcW w:w="0" w:type="auto"/>
            <w:vAlign w:val="center"/>
            <w:hideMark/>
          </w:tcPr>
          <w:p w:rsidR="00564092" w:rsidRDefault="00564092">
            <w:r>
              <w:t>hospitality /ˌhɒspɪˈtæləti/ (n)</w:t>
            </w:r>
          </w:p>
        </w:tc>
        <w:tc>
          <w:tcPr>
            <w:tcW w:w="0" w:type="auto"/>
            <w:vAlign w:val="center"/>
            <w:hideMark/>
          </w:tcPr>
          <w:p w:rsidR="00564092" w:rsidRDefault="00564092">
            <w:r>
              <w:t>lòng mến khách</w:t>
            </w:r>
          </w:p>
        </w:tc>
      </w:tr>
      <w:tr w:rsidR="00564092" w:rsidTr="00564092">
        <w:trPr>
          <w:tblCellSpacing w:w="15" w:type="dxa"/>
        </w:trPr>
        <w:tc>
          <w:tcPr>
            <w:tcW w:w="0" w:type="auto"/>
            <w:vAlign w:val="center"/>
            <w:hideMark/>
          </w:tcPr>
          <w:p w:rsidR="00564092" w:rsidRDefault="00564092">
            <w:r>
              <w:t>initiative /ɪˈnɪʃətɪv/(n)</w:t>
            </w:r>
          </w:p>
        </w:tc>
        <w:tc>
          <w:tcPr>
            <w:tcW w:w="0" w:type="auto"/>
            <w:vAlign w:val="center"/>
            <w:hideMark/>
          </w:tcPr>
          <w:p w:rsidR="00564092" w:rsidRDefault="00564092">
            <w:r>
              <w:t>sáng kiến, tính chủ động trong công việc</w:t>
            </w:r>
          </w:p>
        </w:tc>
      </w:tr>
      <w:tr w:rsidR="00564092" w:rsidTr="00564092">
        <w:trPr>
          <w:tblCellSpacing w:w="15" w:type="dxa"/>
        </w:trPr>
        <w:tc>
          <w:tcPr>
            <w:tcW w:w="0" w:type="auto"/>
            <w:vAlign w:val="center"/>
            <w:hideMark/>
          </w:tcPr>
          <w:p w:rsidR="00564092" w:rsidRDefault="00564092">
            <w:r>
              <w:t>institution /ˌɪnstɪˈtjuːʃn/(n)</w:t>
            </w:r>
          </w:p>
        </w:tc>
        <w:tc>
          <w:tcPr>
            <w:tcW w:w="0" w:type="auto"/>
            <w:vAlign w:val="center"/>
            <w:hideMark/>
          </w:tcPr>
          <w:p w:rsidR="00564092" w:rsidRDefault="00564092">
            <w:r>
              <w:t>cơ quan tổ chức</w:t>
            </w:r>
          </w:p>
        </w:tc>
      </w:tr>
      <w:tr w:rsidR="00564092" w:rsidTr="00564092">
        <w:trPr>
          <w:tblCellSpacing w:w="15" w:type="dxa"/>
        </w:trPr>
        <w:tc>
          <w:tcPr>
            <w:tcW w:w="0" w:type="auto"/>
            <w:vAlign w:val="center"/>
            <w:hideMark/>
          </w:tcPr>
          <w:p w:rsidR="00564092" w:rsidRDefault="00564092">
            <w:r>
              <w:t>interaction /ˌɪntərˈækʃn/(n)</w:t>
            </w:r>
          </w:p>
        </w:tc>
        <w:tc>
          <w:tcPr>
            <w:tcW w:w="0" w:type="auto"/>
            <w:vAlign w:val="center"/>
            <w:hideMark/>
          </w:tcPr>
          <w:p w:rsidR="00564092" w:rsidRDefault="00564092">
            <w:r>
              <w:t>sự tương tác</w:t>
            </w:r>
          </w:p>
        </w:tc>
      </w:tr>
      <w:tr w:rsidR="00564092" w:rsidTr="00564092">
        <w:trPr>
          <w:tblCellSpacing w:w="15" w:type="dxa"/>
        </w:trPr>
        <w:tc>
          <w:tcPr>
            <w:tcW w:w="0" w:type="auto"/>
            <w:vAlign w:val="center"/>
            <w:hideMark/>
          </w:tcPr>
          <w:p w:rsidR="00564092" w:rsidRDefault="00564092">
            <w:r>
              <w:t>lifelong /ˈlaɪflɒŋ/ (a)</w:t>
            </w:r>
          </w:p>
        </w:tc>
        <w:tc>
          <w:tcPr>
            <w:tcW w:w="0" w:type="auto"/>
            <w:vAlign w:val="center"/>
            <w:hideMark/>
          </w:tcPr>
          <w:p w:rsidR="00564092" w:rsidRDefault="00564092">
            <w:r>
              <w:t>suốt đời</w:t>
            </w:r>
          </w:p>
        </w:tc>
      </w:tr>
      <w:tr w:rsidR="00564092" w:rsidTr="00564092">
        <w:trPr>
          <w:tblCellSpacing w:w="15" w:type="dxa"/>
        </w:trPr>
        <w:tc>
          <w:tcPr>
            <w:tcW w:w="0" w:type="auto"/>
            <w:vAlign w:val="center"/>
            <w:hideMark/>
          </w:tcPr>
          <w:p w:rsidR="00564092" w:rsidRDefault="00564092">
            <w:r>
              <w:t>opportunity /ˌɒpəˈtjuːnəti/ (n)</w:t>
            </w:r>
          </w:p>
        </w:tc>
        <w:tc>
          <w:tcPr>
            <w:tcW w:w="0" w:type="auto"/>
            <w:vAlign w:val="center"/>
            <w:hideMark/>
          </w:tcPr>
          <w:p w:rsidR="00564092" w:rsidRDefault="00564092">
            <w:r>
              <w:t>cơ hội</w:t>
            </w:r>
          </w:p>
        </w:tc>
      </w:tr>
      <w:tr w:rsidR="00564092" w:rsidTr="00564092">
        <w:trPr>
          <w:tblCellSpacing w:w="15" w:type="dxa"/>
        </w:trPr>
        <w:tc>
          <w:tcPr>
            <w:tcW w:w="0" w:type="auto"/>
            <w:vAlign w:val="center"/>
            <w:hideMark/>
          </w:tcPr>
          <w:p w:rsidR="00564092" w:rsidRDefault="00564092">
            <w:r>
              <w:t>overwhelming /ˌəʊvəˈwelmɪŋ/ (a)</w:t>
            </w:r>
          </w:p>
        </w:tc>
        <w:tc>
          <w:tcPr>
            <w:tcW w:w="0" w:type="auto"/>
            <w:vAlign w:val="center"/>
            <w:hideMark/>
          </w:tcPr>
          <w:p w:rsidR="00564092" w:rsidRDefault="00564092">
            <w:r>
              <w:t>vượt trội</w:t>
            </w:r>
          </w:p>
        </w:tc>
      </w:tr>
      <w:tr w:rsidR="00564092" w:rsidTr="00564092">
        <w:trPr>
          <w:tblCellSpacing w:w="15" w:type="dxa"/>
        </w:trPr>
        <w:tc>
          <w:tcPr>
            <w:tcW w:w="0" w:type="auto"/>
            <w:vAlign w:val="center"/>
            <w:hideMark/>
          </w:tcPr>
          <w:p w:rsidR="00564092" w:rsidRDefault="00564092">
            <w:r>
              <w:t>pursuit /pəˈsjuːt/(n)</w:t>
            </w:r>
          </w:p>
        </w:tc>
        <w:tc>
          <w:tcPr>
            <w:tcW w:w="0" w:type="auto"/>
            <w:vAlign w:val="center"/>
            <w:hideMark/>
          </w:tcPr>
          <w:p w:rsidR="00564092" w:rsidRDefault="00564092">
            <w:r>
              <w:t>sự theo đuổi</w:t>
            </w:r>
          </w:p>
        </w:tc>
      </w:tr>
      <w:tr w:rsidR="00564092" w:rsidTr="00564092">
        <w:trPr>
          <w:tblCellSpacing w:w="15" w:type="dxa"/>
        </w:trPr>
        <w:tc>
          <w:tcPr>
            <w:tcW w:w="0" w:type="auto"/>
            <w:vAlign w:val="center"/>
            <w:hideMark/>
          </w:tcPr>
          <w:p w:rsidR="00564092" w:rsidRDefault="00564092">
            <w:r>
              <w:t>self-directed /sef-dəˈrektɪd/(a)</w:t>
            </w:r>
          </w:p>
        </w:tc>
        <w:tc>
          <w:tcPr>
            <w:tcW w:w="0" w:type="auto"/>
            <w:vAlign w:val="center"/>
            <w:hideMark/>
          </w:tcPr>
          <w:p w:rsidR="00564092" w:rsidRDefault="00564092">
            <w:r>
              <w:t>theo định hướng cá nhân</w:t>
            </w:r>
          </w:p>
        </w:tc>
      </w:tr>
      <w:tr w:rsidR="00564092" w:rsidTr="00564092">
        <w:trPr>
          <w:tblCellSpacing w:w="15" w:type="dxa"/>
        </w:trPr>
        <w:tc>
          <w:tcPr>
            <w:tcW w:w="0" w:type="auto"/>
            <w:vAlign w:val="center"/>
            <w:hideMark/>
          </w:tcPr>
          <w:p w:rsidR="00564092" w:rsidRDefault="00564092">
            <w:r>
              <w:t>self-motivated /ˌself ˈməʊtɪveɪtɪd/ (a)</w:t>
            </w:r>
          </w:p>
        </w:tc>
        <w:tc>
          <w:tcPr>
            <w:tcW w:w="0" w:type="auto"/>
            <w:vAlign w:val="center"/>
            <w:hideMark/>
          </w:tcPr>
          <w:p w:rsidR="00564092" w:rsidRDefault="00564092">
            <w:r>
              <w:t>có động lực cá nhân</w:t>
            </w:r>
          </w:p>
        </w:tc>
      </w:tr>
      <w:tr w:rsidR="00564092" w:rsidTr="00564092">
        <w:trPr>
          <w:tblCellSpacing w:w="15" w:type="dxa"/>
        </w:trPr>
        <w:tc>
          <w:tcPr>
            <w:tcW w:w="0" w:type="auto"/>
            <w:vAlign w:val="center"/>
            <w:hideMark/>
          </w:tcPr>
          <w:p w:rsidR="00564092" w:rsidRDefault="00564092">
            <w:r>
              <w:t>temptation /tempˈteɪʃn/ (n)</w:t>
            </w:r>
          </w:p>
        </w:tc>
        <w:tc>
          <w:tcPr>
            <w:tcW w:w="0" w:type="auto"/>
            <w:vAlign w:val="center"/>
            <w:hideMark/>
          </w:tcPr>
          <w:p w:rsidR="00564092" w:rsidRDefault="00564092">
            <w:r>
              <w:t>sự lôi cuốn</w:t>
            </w:r>
          </w:p>
        </w:tc>
      </w:tr>
      <w:tr w:rsidR="00564092" w:rsidTr="00564092">
        <w:trPr>
          <w:tblCellSpacing w:w="15" w:type="dxa"/>
        </w:trPr>
        <w:tc>
          <w:tcPr>
            <w:tcW w:w="0" w:type="auto"/>
            <w:vAlign w:val="center"/>
            <w:hideMark/>
          </w:tcPr>
          <w:p w:rsidR="00564092" w:rsidRDefault="00564092">
            <w:r>
              <w:t>ultimate /ˈʌltɪmət/(a)</w:t>
            </w:r>
          </w:p>
        </w:tc>
        <w:tc>
          <w:tcPr>
            <w:tcW w:w="0" w:type="auto"/>
            <w:vAlign w:val="center"/>
            <w:hideMark/>
          </w:tcPr>
          <w:p w:rsidR="00564092" w:rsidRDefault="00564092">
            <w:r>
              <w:t>sau cùng, quan trọng nhất</w:t>
            </w:r>
          </w:p>
        </w:tc>
      </w:tr>
      <w:tr w:rsidR="00564092" w:rsidTr="00564092">
        <w:trPr>
          <w:tblCellSpacing w:w="15" w:type="dxa"/>
        </w:trPr>
        <w:tc>
          <w:tcPr>
            <w:tcW w:w="0" w:type="auto"/>
            <w:vAlign w:val="center"/>
            <w:hideMark/>
          </w:tcPr>
          <w:p w:rsidR="00564092" w:rsidRDefault="00564092">
            <w:r>
              <w:t>voluntarily /ˈvɒləntrəli/ (adv)</w:t>
            </w:r>
          </w:p>
        </w:tc>
        <w:tc>
          <w:tcPr>
            <w:tcW w:w="0" w:type="auto"/>
            <w:vAlign w:val="center"/>
            <w:hideMark/>
          </w:tcPr>
          <w:p w:rsidR="00564092" w:rsidRDefault="00564092">
            <w:r>
              <w:t>một cách tự nguyện</w:t>
            </w:r>
          </w:p>
        </w:tc>
      </w:tr>
    </w:tbl>
    <w:p w:rsidR="00564092" w:rsidRDefault="00564092" w:rsidP="00564092">
      <w:pPr>
        <w:pStyle w:val="NormalWeb"/>
      </w:pPr>
      <w:r>
        <w:lastRenderedPageBreak/>
        <w:t>Trên đây là tổng hợp các từ vựng có trong Unit 10 lớp 12 mà các em cần ghi nhớ. Để ghi nhớ tốt hơn kiến thức các em có thể tải file tải liệu đính kèm bên dưới nhé!</w:t>
      </w:r>
    </w:p>
    <w:p w:rsidR="00564092" w:rsidRDefault="00564092" w:rsidP="00564092">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564092" w:rsidRDefault="00414D61" w:rsidP="00564092">
      <w:bookmarkStart w:id="0" w:name="_GoBack"/>
      <w:bookmarkEnd w:id="0"/>
    </w:p>
    <w:sectPr w:rsidR="00414D61" w:rsidRPr="005640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16" w:rsidRDefault="00916416" w:rsidP="0095332C">
      <w:pPr>
        <w:spacing w:after="0" w:line="240" w:lineRule="auto"/>
      </w:pPr>
      <w:r>
        <w:separator/>
      </w:r>
    </w:p>
  </w:endnote>
  <w:endnote w:type="continuationSeparator" w:id="0">
    <w:p w:rsidR="00916416" w:rsidRDefault="00916416"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16" w:rsidRDefault="00916416" w:rsidP="0095332C">
      <w:pPr>
        <w:spacing w:after="0" w:line="240" w:lineRule="auto"/>
      </w:pPr>
      <w:r>
        <w:separator/>
      </w:r>
    </w:p>
  </w:footnote>
  <w:footnote w:type="continuationSeparator" w:id="0">
    <w:p w:rsidR="00916416" w:rsidRDefault="00916416"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564092" w:rsidRDefault="00564092" w:rsidP="00564092">
    <w:pPr>
      <w:pStyle w:val="Header"/>
    </w:pPr>
    <w:hyperlink r:id="rId1" w:history="1">
      <w:r w:rsidRPr="00564092">
        <w:rPr>
          <w:rStyle w:val="Hyperlink"/>
        </w:rPr>
        <w:t>Unit 10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1583F"/>
    <w:rsid w:val="00371CE6"/>
    <w:rsid w:val="00414D61"/>
    <w:rsid w:val="004711D9"/>
    <w:rsid w:val="00564092"/>
    <w:rsid w:val="00617E3A"/>
    <w:rsid w:val="007A46CE"/>
    <w:rsid w:val="00916416"/>
    <w:rsid w:val="0095332C"/>
    <w:rsid w:val="00A44F29"/>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3983">
      <w:bodyDiv w:val="1"/>
      <w:marLeft w:val="0"/>
      <w:marRight w:val="0"/>
      <w:marTop w:val="0"/>
      <w:marBottom w:val="0"/>
      <w:divBdr>
        <w:top w:val="none" w:sz="0" w:space="0" w:color="auto"/>
        <w:left w:val="none" w:sz="0" w:space="0" w:color="auto"/>
        <w:bottom w:val="none" w:sz="0" w:space="0" w:color="auto"/>
        <w:right w:val="none" w:sz="0" w:space="0" w:color="auto"/>
      </w:divBdr>
    </w:div>
    <w:div w:id="356272969">
      <w:bodyDiv w:val="1"/>
      <w:marLeft w:val="0"/>
      <w:marRight w:val="0"/>
      <w:marTop w:val="0"/>
      <w:marBottom w:val="0"/>
      <w:divBdr>
        <w:top w:val="none" w:sz="0" w:space="0" w:color="auto"/>
        <w:left w:val="none" w:sz="0" w:space="0" w:color="auto"/>
        <w:bottom w:val="none" w:sz="0" w:space="0" w:color="auto"/>
        <w:right w:val="none" w:sz="0" w:space="0" w:color="auto"/>
      </w:divBdr>
    </w:div>
    <w:div w:id="365639123">
      <w:bodyDiv w:val="1"/>
      <w:marLeft w:val="0"/>
      <w:marRight w:val="0"/>
      <w:marTop w:val="0"/>
      <w:marBottom w:val="0"/>
      <w:divBdr>
        <w:top w:val="none" w:sz="0" w:space="0" w:color="auto"/>
        <w:left w:val="none" w:sz="0" w:space="0" w:color="auto"/>
        <w:bottom w:val="none" w:sz="0" w:space="0" w:color="auto"/>
        <w:right w:val="none" w:sz="0" w:space="0" w:color="auto"/>
      </w:divBdr>
    </w:div>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64410192">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 w:id="1281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0-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 8 lớp 12 Từ vựng sách mới</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lớp 12 Từ vựng sách mới</dc:title>
  <dc:subject>Unit 10 lớp 12 Từ vựng với tổng hợp tất cả từ mới bám sát theo chương trình sách giáo khoa Tiếng Anh 12 mới nhất của Bộ giáo dục mà em cần ghi nhớ.</dc:subject>
  <dc:creator>doctailieu.com</dc:creator>
  <cp:keywords>Unit 9 lớp 12</cp:keywords>
  <dc:description/>
  <cp:lastModifiedBy>Microsoft account</cp:lastModifiedBy>
  <cp:revision>2</cp:revision>
  <cp:lastPrinted>2022-02-08T02:28:00Z</cp:lastPrinted>
  <dcterms:created xsi:type="dcterms:W3CDTF">2022-02-08T02:53:00Z</dcterms:created>
  <dcterms:modified xsi:type="dcterms:W3CDTF">2022-02-08T02:53:00Z</dcterms:modified>
</cp:coreProperties>
</file>