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05" w:rsidRPr="005F0F05" w:rsidRDefault="005F0F05" w:rsidP="005F0F05">
      <w:pPr>
        <w:pStyle w:val="NormalWeb"/>
        <w:jc w:val="both"/>
        <w:rPr>
          <w:sz w:val="26"/>
          <w:szCs w:val="26"/>
        </w:rPr>
      </w:pPr>
      <w:r w:rsidRPr="005F0F05">
        <w:rPr>
          <w:sz w:val="26"/>
          <w:szCs w:val="26"/>
        </w:rPr>
        <w:t xml:space="preserve">Hướng dẫn giải câu 2 trang 154 </w:t>
      </w:r>
      <w:hyperlink r:id="rId5" w:tooltip="bài 34 Địa lí 12" w:history="1">
        <w:r w:rsidRPr="005F0F05">
          <w:rPr>
            <w:rStyle w:val="Hyperlink"/>
            <w:sz w:val="26"/>
            <w:szCs w:val="26"/>
          </w:rPr>
          <w:t>bài 34 Địa lí 12</w:t>
        </w:r>
      </w:hyperlink>
      <w:r w:rsidRPr="005F0F05">
        <w:rPr>
          <w:sz w:val="26"/>
          <w:szCs w:val="26"/>
        </w:rPr>
        <w:t> giúp các em thấy được tỉ trọng về dân cư, lương thực của Đồng bằng sông Hồng so với cả nước theo các chỉ số và từ đó đưa ra nhận xét.</w:t>
      </w:r>
    </w:p>
    <w:p w:rsidR="005F0F05" w:rsidRPr="005F0F05" w:rsidRDefault="005F0F05" w:rsidP="005F0F05">
      <w:pPr>
        <w:pStyle w:val="Heading2"/>
        <w:rPr>
          <w:b/>
          <w:sz w:val="28"/>
          <w:szCs w:val="28"/>
        </w:rPr>
      </w:pPr>
      <w:r w:rsidRPr="005F0F05">
        <w:rPr>
          <w:b/>
          <w:sz w:val="28"/>
          <w:szCs w:val="28"/>
        </w:rPr>
        <w:t>Câu hỏi</w:t>
      </w:r>
    </w:p>
    <w:p w:rsidR="005F0F05" w:rsidRPr="005F0F05" w:rsidRDefault="005F0F05" w:rsidP="005F0F05">
      <w:pPr>
        <w:pStyle w:val="NormalWeb"/>
        <w:jc w:val="both"/>
        <w:rPr>
          <w:sz w:val="26"/>
          <w:szCs w:val="26"/>
        </w:rPr>
      </w:pPr>
      <w:r w:rsidRPr="005F0F05">
        <w:rPr>
          <w:sz w:val="26"/>
          <w:szCs w:val="26"/>
        </w:rPr>
        <w:t>Cho bảng số liệu: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06"/>
        <w:gridCol w:w="1011"/>
        <w:gridCol w:w="1012"/>
        <w:gridCol w:w="1012"/>
        <w:gridCol w:w="1019"/>
      </w:tblGrid>
      <w:tr w:rsidR="005F0F05" w:rsidRPr="005F0F05" w:rsidTr="005F0F05">
        <w:trPr>
          <w:trHeight w:val="503"/>
          <w:tblCellSpacing w:w="7" w:type="dxa"/>
        </w:trPr>
        <w:tc>
          <w:tcPr>
            <w:tcW w:w="0" w:type="auto"/>
            <w:gridSpan w:val="5"/>
            <w:vMerge w:val="restart"/>
            <w:tcBorders>
              <w:top w:val="nil"/>
              <w:left w:val="nil"/>
              <w:bottom w:val="nil"/>
              <w:right w:val="nil"/>
            </w:tcBorders>
            <w:vAlign w:val="center"/>
            <w:hideMark/>
          </w:tcPr>
          <w:p w:rsidR="005F0F05" w:rsidRPr="005F0F05" w:rsidRDefault="005F0F05">
            <w:pPr>
              <w:jc w:val="center"/>
              <w:rPr>
                <w:sz w:val="26"/>
                <w:szCs w:val="26"/>
              </w:rPr>
            </w:pPr>
            <w:r w:rsidRPr="005F0F05">
              <w:rPr>
                <w:rStyle w:val="Strong"/>
                <w:sz w:val="26"/>
                <w:szCs w:val="26"/>
              </w:rPr>
              <w:t>Bảng 34.</w:t>
            </w:r>
            <w:r w:rsidRPr="005F0F05">
              <w:rPr>
                <w:sz w:val="26"/>
                <w:szCs w:val="26"/>
              </w:rPr>
              <w:t xml:space="preserve"> Số dân, diện tích gieo trồng, sản lượng và bình quân lương thực có hạt theo đầu người của Đồng bằng sông Hồng và cả nước năm 1995 và năm 2005.</w:t>
            </w:r>
          </w:p>
        </w:tc>
      </w:tr>
      <w:tr w:rsidR="005F0F05" w:rsidRPr="005F0F05" w:rsidTr="005F0F05">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rStyle w:val="Strong"/>
                <w:sz w:val="26"/>
                <w:szCs w:val="26"/>
              </w:rPr>
              <w:t>Các chỉ số</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rStyle w:val="Strong"/>
                <w:sz w:val="26"/>
                <w:szCs w:val="26"/>
              </w:rPr>
              <w:t>Đồng bằng sông Hồng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rStyle w:val="Strong"/>
                <w:sz w:val="26"/>
                <w:szCs w:val="26"/>
              </w:rPr>
              <w:t>Cả nước</w:t>
            </w:r>
          </w:p>
        </w:tc>
      </w:tr>
      <w:tr w:rsidR="005F0F05" w:rsidRPr="005F0F05" w:rsidTr="005F0F0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rPr>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rStyle w:val="Strong"/>
                <w:sz w:val="26"/>
                <w:szCs w:val="26"/>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rStyle w:val="Strong"/>
                <w:sz w:val="26"/>
                <w:szCs w:val="26"/>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rStyle w:val="Strong"/>
                <w:sz w:val="26"/>
                <w:szCs w:val="26"/>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rStyle w:val="Strong"/>
                <w:sz w:val="26"/>
                <w:szCs w:val="26"/>
              </w:rPr>
              <w:t>2005</w:t>
            </w:r>
          </w:p>
        </w:tc>
      </w:tr>
      <w:tr w:rsidR="005F0F05" w:rsidRPr="005F0F05" w:rsidTr="005F0F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rPr>
                <w:sz w:val="26"/>
                <w:szCs w:val="26"/>
              </w:rPr>
            </w:pPr>
            <w:r w:rsidRPr="005F0F05">
              <w:rPr>
                <w:sz w:val="26"/>
                <w:szCs w:val="26"/>
              </w:rPr>
              <w:t>Số dân (nghìn người)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sz w:val="26"/>
                <w:szCs w:val="26"/>
              </w:rPr>
              <w:t>16137</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sz w:val="26"/>
                <w:szCs w:val="26"/>
              </w:rPr>
              <w:t>18028</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sz w:val="26"/>
                <w:szCs w:val="26"/>
              </w:rPr>
              <w:t>71996</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sz w:val="26"/>
                <w:szCs w:val="26"/>
              </w:rPr>
              <w:t>83106</w:t>
            </w:r>
          </w:p>
        </w:tc>
      </w:tr>
      <w:tr w:rsidR="005F0F05" w:rsidRPr="005F0F05" w:rsidTr="005F0F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rPr>
                <w:sz w:val="26"/>
                <w:szCs w:val="26"/>
              </w:rPr>
            </w:pPr>
            <w:r w:rsidRPr="005F0F05">
              <w:rPr>
                <w:sz w:val="26"/>
                <w:szCs w:val="26"/>
              </w:rPr>
              <w:t>Diện tích gieo trồng cây lương thực có hạt (nghìn ha)</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sz w:val="26"/>
                <w:szCs w:val="26"/>
              </w:rPr>
              <w:t>1117</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sz w:val="26"/>
                <w:szCs w:val="26"/>
              </w:rPr>
              <w:t>1221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sz w:val="26"/>
                <w:szCs w:val="26"/>
              </w:rPr>
              <w:t>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sz w:val="26"/>
                <w:szCs w:val="26"/>
              </w:rPr>
              <w:t>8383</w:t>
            </w:r>
          </w:p>
        </w:tc>
      </w:tr>
      <w:tr w:rsidR="005F0F05" w:rsidRPr="005F0F05" w:rsidTr="005F0F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rPr>
                <w:sz w:val="26"/>
                <w:szCs w:val="26"/>
              </w:rPr>
            </w:pPr>
            <w:r w:rsidRPr="005F0F05">
              <w:rPr>
                <w:sz w:val="26"/>
                <w:szCs w:val="26"/>
              </w:rPr>
              <w:t>Sản lượng lương thực có hạt (nghìn tấn)</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sz w:val="26"/>
                <w:szCs w:val="26"/>
              </w:rPr>
              <w:t>5340</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sz w:val="26"/>
                <w:szCs w:val="26"/>
              </w:rPr>
              <w:t>6518</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sz w:val="26"/>
                <w:szCs w:val="26"/>
              </w:rPr>
              <w:t>26141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sz w:val="26"/>
                <w:szCs w:val="26"/>
              </w:rPr>
              <w:t>39622</w:t>
            </w:r>
          </w:p>
        </w:tc>
      </w:tr>
      <w:tr w:rsidR="005F0F05" w:rsidRPr="005F0F05" w:rsidTr="005F0F0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rPr>
                <w:sz w:val="26"/>
                <w:szCs w:val="26"/>
              </w:rPr>
            </w:pPr>
            <w:r w:rsidRPr="005F0F05">
              <w:rPr>
                <w:sz w:val="26"/>
                <w:szCs w:val="26"/>
              </w:rPr>
              <w:t>Bình quân lương thực có hạt (kg/người)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sz w:val="26"/>
                <w:szCs w:val="26"/>
              </w:rPr>
              <w:t>331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sz w:val="26"/>
                <w:szCs w:val="26"/>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sz w:val="26"/>
                <w:szCs w:val="26"/>
              </w:rPr>
              <w:t>363</w:t>
            </w:r>
          </w:p>
        </w:tc>
        <w:tc>
          <w:tcPr>
            <w:tcW w:w="0" w:type="auto"/>
            <w:tcBorders>
              <w:top w:val="outset" w:sz="6" w:space="0" w:color="auto"/>
              <w:left w:val="outset" w:sz="6" w:space="0" w:color="auto"/>
              <w:bottom w:val="outset" w:sz="6" w:space="0" w:color="auto"/>
              <w:right w:val="outset" w:sz="6" w:space="0" w:color="auto"/>
            </w:tcBorders>
            <w:vAlign w:val="center"/>
            <w:hideMark/>
          </w:tcPr>
          <w:p w:rsidR="005F0F05" w:rsidRPr="005F0F05" w:rsidRDefault="005F0F05">
            <w:pPr>
              <w:pStyle w:val="NormalWeb"/>
              <w:jc w:val="center"/>
              <w:rPr>
                <w:sz w:val="26"/>
                <w:szCs w:val="26"/>
              </w:rPr>
            </w:pPr>
            <w:r w:rsidRPr="005F0F05">
              <w:rPr>
                <w:sz w:val="26"/>
                <w:szCs w:val="26"/>
              </w:rPr>
              <w:t>477</w:t>
            </w:r>
          </w:p>
        </w:tc>
      </w:tr>
    </w:tbl>
    <w:p w:rsidR="005F0F05" w:rsidRPr="005F0F05" w:rsidRDefault="005F0F05" w:rsidP="005F0F05">
      <w:pPr>
        <w:pStyle w:val="NormalWeb"/>
        <w:jc w:val="both"/>
        <w:rPr>
          <w:sz w:val="26"/>
          <w:szCs w:val="26"/>
        </w:rPr>
      </w:pPr>
      <w:r w:rsidRPr="005F0F05">
        <w:rPr>
          <w:sz w:val="26"/>
          <w:szCs w:val="26"/>
        </w:rPr>
        <w:t>Tính tỉ trọng của Đồng bằng sông Hồng so với cả nước theo các chỉ số và nhận xét.</w:t>
      </w:r>
    </w:p>
    <w:p w:rsidR="005F0F05" w:rsidRPr="005F0F05" w:rsidRDefault="005F0F05" w:rsidP="005F0F05">
      <w:pPr>
        <w:pStyle w:val="Heading2"/>
        <w:rPr>
          <w:b/>
          <w:sz w:val="28"/>
          <w:szCs w:val="28"/>
        </w:rPr>
      </w:pPr>
      <w:r w:rsidRPr="005F0F05">
        <w:rPr>
          <w:b/>
          <w:sz w:val="28"/>
          <w:szCs w:val="28"/>
        </w:rPr>
        <w:t>Phương pháp giải</w:t>
      </w:r>
    </w:p>
    <w:p w:rsidR="005F0F05" w:rsidRPr="005F0F05" w:rsidRDefault="005F0F05" w:rsidP="005F0F05">
      <w:pPr>
        <w:pStyle w:val="NormalWeb"/>
        <w:jc w:val="both"/>
        <w:rPr>
          <w:sz w:val="26"/>
          <w:szCs w:val="26"/>
        </w:rPr>
      </w:pPr>
      <w:r w:rsidRPr="005F0F05">
        <w:rPr>
          <w:sz w:val="26"/>
          <w:szCs w:val="26"/>
        </w:rPr>
        <w:t>- Sử dụng kĩ năng tính toán, xử lí số liệu về tỉ trọng thành phần.</w:t>
      </w:r>
    </w:p>
    <w:p w:rsidR="005F0F05" w:rsidRPr="005F0F05" w:rsidRDefault="005F0F05" w:rsidP="005F0F05">
      <w:pPr>
        <w:pStyle w:val="Heading1"/>
        <w:jc w:val="center"/>
        <w:rPr>
          <w:b/>
        </w:rPr>
      </w:pPr>
      <w:r w:rsidRPr="005F0F05">
        <w:rPr>
          <w:b/>
        </w:rPr>
        <w:t>Lời giải chi tiết</w:t>
      </w:r>
      <w:r w:rsidRPr="005F0F05">
        <w:rPr>
          <w:b/>
        </w:rPr>
        <w:t xml:space="preserve"> </w:t>
      </w:r>
      <w:r w:rsidRPr="005F0F05">
        <w:rPr>
          <w:b/>
        </w:rPr>
        <w:t>câu 2 trang 154 SGK Địa lí 12</w:t>
      </w:r>
    </w:p>
    <w:p w:rsidR="005F0F05" w:rsidRDefault="005F0F05" w:rsidP="005F0F05">
      <w:pPr>
        <w:pStyle w:val="NormalWeb"/>
        <w:jc w:val="both"/>
        <w:rPr>
          <w:sz w:val="26"/>
          <w:szCs w:val="26"/>
        </w:rPr>
      </w:pPr>
      <w:r w:rsidRPr="005F0F05">
        <w:rPr>
          <w:sz w:val="26"/>
          <w:szCs w:val="26"/>
        </w:rPr>
        <w:t>Tính tỉ trọng về dân số và sản lượng lương thực của Đồng bằng sông Hồng so với cả nước (%)</w:t>
      </w:r>
    </w:p>
    <w:p w:rsidR="005F0F05" w:rsidRPr="005F0F05" w:rsidRDefault="005F0F05" w:rsidP="005F0F05">
      <w:pPr>
        <w:pStyle w:val="NormalWeb"/>
        <w:jc w:val="center"/>
        <w:rPr>
          <w:sz w:val="26"/>
          <w:szCs w:val="26"/>
        </w:rPr>
      </w:pPr>
      <w:r w:rsidRPr="005F0F05">
        <w:rPr>
          <w:noProof/>
          <w:sz w:val="26"/>
          <w:szCs w:val="26"/>
        </w:rPr>
        <w:drawing>
          <wp:inline distT="0" distB="0" distL="0" distR="0">
            <wp:extent cx="4438650" cy="2870691"/>
            <wp:effectExtent l="0" t="0" r="0" b="6350"/>
            <wp:docPr id="13" name="Picture 13" descr="Tính tỉ trọng về dân số và sản lượng lương thực của Đồng bằng sông Hồng so với cả nướ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ính tỉ trọng về dân số và sản lượng lương thực của Đồng bằng sông Hồng so với cả nước (%)"/>
                    <pic:cNvPicPr>
                      <a:picLocks noChangeAspect="1" noChangeArrowheads="1"/>
                    </pic:cNvPicPr>
                  </pic:nvPicPr>
                  <pic:blipFill rotWithShape="1">
                    <a:blip r:embed="rId6">
                      <a:extLst>
                        <a:ext uri="{28A0092B-C50C-407E-A947-70E740481C1C}">
                          <a14:useLocalDpi xmlns:a14="http://schemas.microsoft.com/office/drawing/2010/main" val="0"/>
                        </a:ext>
                      </a:extLst>
                    </a:blip>
                    <a:srcRect l="1029" t="1305" r="1350" b="2585"/>
                    <a:stretch/>
                  </pic:blipFill>
                  <pic:spPr bwMode="auto">
                    <a:xfrm>
                      <a:off x="0" y="0"/>
                      <a:ext cx="4476218" cy="2894988"/>
                    </a:xfrm>
                    <a:prstGeom prst="rect">
                      <a:avLst/>
                    </a:prstGeom>
                    <a:noFill/>
                    <a:ln>
                      <a:noFill/>
                    </a:ln>
                    <a:extLst>
                      <a:ext uri="{53640926-AAD7-44D8-BBD7-CCE9431645EC}">
                        <a14:shadowObscured xmlns:a14="http://schemas.microsoft.com/office/drawing/2010/main"/>
                      </a:ext>
                    </a:extLst>
                  </pic:spPr>
                </pic:pic>
              </a:graphicData>
            </a:graphic>
          </wp:inline>
        </w:drawing>
      </w:r>
    </w:p>
    <w:p w:rsidR="005F0F05" w:rsidRPr="005F0F05" w:rsidRDefault="005F0F05" w:rsidP="005F0F05">
      <w:pPr>
        <w:pStyle w:val="NormalWeb"/>
        <w:jc w:val="both"/>
        <w:rPr>
          <w:sz w:val="26"/>
          <w:szCs w:val="26"/>
        </w:rPr>
      </w:pPr>
      <w:r w:rsidRPr="005F0F05">
        <w:rPr>
          <w:rStyle w:val="Emphasis"/>
          <w:rFonts w:eastAsiaTheme="majorEastAsia"/>
          <w:sz w:val="26"/>
          <w:szCs w:val="26"/>
          <w:u w:val="single"/>
        </w:rPr>
        <w:t> Nhận xét</w:t>
      </w:r>
    </w:p>
    <w:p w:rsidR="005F0F05" w:rsidRPr="005F0F05" w:rsidRDefault="005F0F05" w:rsidP="005F0F05">
      <w:pPr>
        <w:pStyle w:val="NormalWeb"/>
        <w:jc w:val="both"/>
        <w:rPr>
          <w:sz w:val="26"/>
          <w:szCs w:val="26"/>
        </w:rPr>
      </w:pPr>
      <w:r w:rsidRPr="005F0F05">
        <w:rPr>
          <w:sz w:val="26"/>
          <w:szCs w:val="26"/>
        </w:rPr>
        <w:t>Nhìn chung trong tất cả các chỉ số, đồng bằng sông Hồng luôn chiếm một vị trí nhất định so với cả nước, tuy nhiên tỉ lệ các chỉ số này đang bị giảm dần.</w:t>
      </w:r>
    </w:p>
    <w:p w:rsidR="005F0F05" w:rsidRPr="005F0F05" w:rsidRDefault="005F0F05" w:rsidP="005F0F05">
      <w:pPr>
        <w:pStyle w:val="NormalWeb"/>
        <w:jc w:val="both"/>
        <w:rPr>
          <w:sz w:val="26"/>
          <w:szCs w:val="26"/>
        </w:rPr>
      </w:pPr>
      <w:r w:rsidRPr="005F0F05">
        <w:rPr>
          <w:sz w:val="26"/>
          <w:szCs w:val="26"/>
        </w:rPr>
        <w:t>- Về số dân: chiếm tỉ lệ khá lớn, hơn 1/5 só với cả nước và đang giảm dần (22,4% năm 1995 và 21,7% năm 2005).</w:t>
      </w:r>
    </w:p>
    <w:p w:rsidR="005F0F05" w:rsidRPr="005F0F05" w:rsidRDefault="005F0F05" w:rsidP="005F0F05">
      <w:pPr>
        <w:pStyle w:val="NormalWeb"/>
        <w:jc w:val="both"/>
        <w:rPr>
          <w:sz w:val="26"/>
          <w:szCs w:val="26"/>
        </w:rPr>
      </w:pPr>
      <w:r w:rsidRPr="005F0F05">
        <w:rPr>
          <w:sz w:val="26"/>
          <w:szCs w:val="26"/>
        </w:rPr>
        <w:t>- Diện tích gieo trồng cây lương thực có hạt chiếm 15,3% năm 1995 và đến năm 2005 giảm nhẹ còn 14,6%.</w:t>
      </w:r>
    </w:p>
    <w:p w:rsidR="005F0F05" w:rsidRPr="005F0F05" w:rsidRDefault="005F0F05" w:rsidP="005F0F05">
      <w:pPr>
        <w:pStyle w:val="NormalWeb"/>
        <w:jc w:val="both"/>
        <w:rPr>
          <w:sz w:val="26"/>
          <w:szCs w:val="26"/>
        </w:rPr>
      </w:pPr>
      <w:r w:rsidRPr="005F0F05">
        <w:rPr>
          <w:sz w:val="26"/>
          <w:szCs w:val="26"/>
        </w:rPr>
        <w:t xml:space="preserve">- Sản lượng lương thực có hạt chiếm tỉ lệ khá lớn so với cả nước và đang giả khá nhanh </w:t>
      </w:r>
      <w:bookmarkStart w:id="0" w:name="_GoBack"/>
      <w:r w:rsidRPr="005F0F05">
        <w:rPr>
          <w:sz w:val="26"/>
          <w:szCs w:val="26"/>
        </w:rPr>
        <w:t>trong cơ cấu (năm 1995 là 20,4% và 2005 là 16,5%).</w:t>
      </w:r>
    </w:p>
    <w:bookmarkEnd w:id="0"/>
    <w:p w:rsidR="005F0F05" w:rsidRPr="005F0F05" w:rsidRDefault="005F0F05" w:rsidP="005F0F05">
      <w:pPr>
        <w:pStyle w:val="NormalWeb"/>
        <w:jc w:val="both"/>
        <w:rPr>
          <w:sz w:val="26"/>
          <w:szCs w:val="26"/>
        </w:rPr>
      </w:pPr>
      <w:r w:rsidRPr="005F0F05">
        <w:rPr>
          <w:sz w:val="26"/>
          <w:szCs w:val="26"/>
        </w:rPr>
        <w:t>- Bình quân lương thực có hạt chiếm tỉ trọng lớn nhất cả nước nhưng đang giảm dần (năm 1995 là 91,2% và 2005 là 75,9%).</w:t>
      </w:r>
    </w:p>
    <w:p w:rsidR="005F0F05" w:rsidRPr="005F0F05" w:rsidRDefault="005F0F05" w:rsidP="005F0F05">
      <w:pPr>
        <w:pStyle w:val="NormalWeb"/>
        <w:rPr>
          <w:sz w:val="26"/>
          <w:szCs w:val="26"/>
        </w:rPr>
      </w:pPr>
      <w:r w:rsidRPr="005F0F05">
        <w:rPr>
          <w:sz w:val="26"/>
          <w:szCs w:val="26"/>
        </w:rPr>
        <w:t>---------------------------------------------------------------</w:t>
      </w:r>
    </w:p>
    <w:p w:rsidR="005F0F05" w:rsidRPr="005F0F05" w:rsidRDefault="005F0F05" w:rsidP="005F0F05">
      <w:pPr>
        <w:pStyle w:val="NormalWeb"/>
        <w:rPr>
          <w:sz w:val="26"/>
          <w:szCs w:val="26"/>
        </w:rPr>
      </w:pPr>
      <w:r w:rsidRPr="005F0F05">
        <w:rPr>
          <w:rStyle w:val="Strong"/>
          <w:i/>
          <w:iCs/>
          <w:sz w:val="26"/>
          <w:szCs w:val="26"/>
        </w:rPr>
        <w:t>»</w:t>
      </w:r>
      <w:r w:rsidRPr="005F0F05">
        <w:rPr>
          <w:sz w:val="26"/>
          <w:szCs w:val="26"/>
        </w:rPr>
        <w:t xml:space="preserve"> </w:t>
      </w:r>
      <w:r w:rsidRPr="005F0F05">
        <w:rPr>
          <w:rStyle w:val="Emphasis"/>
          <w:rFonts w:eastAsiaTheme="majorEastAsia"/>
          <w:sz w:val="26"/>
          <w:szCs w:val="26"/>
          <w:u w:val="single"/>
        </w:rPr>
        <w:t>Xem thêm:</w:t>
      </w:r>
      <w:r w:rsidRPr="005F0F05">
        <w:rPr>
          <w:rStyle w:val="Emphasis"/>
          <w:rFonts w:eastAsiaTheme="majorEastAsia"/>
          <w:sz w:val="26"/>
          <w:szCs w:val="26"/>
        </w:rPr>
        <w:t> </w:t>
      </w:r>
      <w:r w:rsidRPr="005F0F05">
        <w:rPr>
          <w:sz w:val="26"/>
          <w:szCs w:val="26"/>
        </w:rPr>
        <w:t>Hướng dẫn chi tiết cách giải các bài tập </w:t>
      </w:r>
      <w:hyperlink r:id="rId7" w:tooltip="Giải bài tập Địa lí 12" w:history="1">
        <w:r w:rsidRPr="005F0F05">
          <w:rPr>
            <w:rStyle w:val="Strong"/>
            <w:i/>
            <w:iCs/>
            <w:color w:val="0000FF"/>
            <w:sz w:val="26"/>
            <w:szCs w:val="26"/>
            <w:u w:val="single"/>
          </w:rPr>
          <w:t>Địa lí lớp 12</w:t>
        </w:r>
      </w:hyperlink>
      <w:r w:rsidRPr="005F0F05">
        <w:rPr>
          <w:sz w:val="26"/>
          <w:szCs w:val="26"/>
        </w:rPr>
        <w:t xml:space="preserve"> sách giáo khoa</w:t>
      </w:r>
    </w:p>
    <w:p w:rsidR="00D32915" w:rsidRPr="005F0F05" w:rsidRDefault="00D32915" w:rsidP="005F0F05">
      <w:pPr>
        <w:rPr>
          <w:sz w:val="26"/>
          <w:szCs w:val="26"/>
        </w:rPr>
      </w:pPr>
    </w:p>
    <w:sectPr w:rsidR="00D32915" w:rsidRPr="005F0F05" w:rsidSect="00827799">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25EA8"/>
    <w:multiLevelType w:val="multilevel"/>
    <w:tmpl w:val="5372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C2"/>
    <w:rsid w:val="000D2FC2"/>
    <w:rsid w:val="0026554F"/>
    <w:rsid w:val="00554B76"/>
    <w:rsid w:val="005F0F05"/>
    <w:rsid w:val="00645C62"/>
    <w:rsid w:val="006849EC"/>
    <w:rsid w:val="00827799"/>
    <w:rsid w:val="00C00C88"/>
    <w:rsid w:val="00D32915"/>
    <w:rsid w:val="00FB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3462D-6DC0-416B-A496-94A3695D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65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65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B6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B65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652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B652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B65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652A"/>
    <w:rPr>
      <w:color w:val="0000FF"/>
      <w:u w:val="single"/>
    </w:rPr>
  </w:style>
  <w:style w:type="character" w:styleId="Strong">
    <w:name w:val="Strong"/>
    <w:basedOn w:val="DefaultParagraphFont"/>
    <w:uiPriority w:val="22"/>
    <w:qFormat/>
    <w:rsid w:val="00FB652A"/>
    <w:rPr>
      <w:b/>
      <w:bCs/>
    </w:rPr>
  </w:style>
  <w:style w:type="character" w:styleId="Emphasis">
    <w:name w:val="Emphasis"/>
    <w:basedOn w:val="DefaultParagraphFont"/>
    <w:uiPriority w:val="20"/>
    <w:qFormat/>
    <w:rsid w:val="00FB652A"/>
    <w:rPr>
      <w:i/>
      <w:iCs/>
    </w:rPr>
  </w:style>
  <w:style w:type="character" w:customStyle="1" w:styleId="Heading2Char">
    <w:name w:val="Heading 2 Char"/>
    <w:basedOn w:val="DefaultParagraphFont"/>
    <w:link w:val="Heading2"/>
    <w:uiPriority w:val="9"/>
    <w:rsid w:val="00FB652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B652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45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0644">
      <w:bodyDiv w:val="1"/>
      <w:marLeft w:val="0"/>
      <w:marRight w:val="0"/>
      <w:marTop w:val="0"/>
      <w:marBottom w:val="0"/>
      <w:divBdr>
        <w:top w:val="none" w:sz="0" w:space="0" w:color="auto"/>
        <w:left w:val="none" w:sz="0" w:space="0" w:color="auto"/>
        <w:bottom w:val="none" w:sz="0" w:space="0" w:color="auto"/>
        <w:right w:val="none" w:sz="0" w:space="0" w:color="auto"/>
      </w:divBdr>
    </w:div>
    <w:div w:id="914826518">
      <w:bodyDiv w:val="1"/>
      <w:marLeft w:val="0"/>
      <w:marRight w:val="0"/>
      <w:marTop w:val="0"/>
      <w:marBottom w:val="0"/>
      <w:divBdr>
        <w:top w:val="none" w:sz="0" w:space="0" w:color="auto"/>
        <w:left w:val="none" w:sz="0" w:space="0" w:color="auto"/>
        <w:bottom w:val="none" w:sz="0" w:space="0" w:color="auto"/>
        <w:right w:val="none" w:sz="0" w:space="0" w:color="auto"/>
      </w:divBdr>
    </w:div>
    <w:div w:id="942961531">
      <w:bodyDiv w:val="1"/>
      <w:marLeft w:val="0"/>
      <w:marRight w:val="0"/>
      <w:marTop w:val="0"/>
      <w:marBottom w:val="0"/>
      <w:divBdr>
        <w:top w:val="none" w:sz="0" w:space="0" w:color="auto"/>
        <w:left w:val="none" w:sz="0" w:space="0" w:color="auto"/>
        <w:bottom w:val="none" w:sz="0" w:space="0" w:color="auto"/>
        <w:right w:val="none" w:sz="0" w:space="0" w:color="auto"/>
      </w:divBdr>
    </w:div>
    <w:div w:id="1062948130">
      <w:bodyDiv w:val="1"/>
      <w:marLeft w:val="0"/>
      <w:marRight w:val="0"/>
      <w:marTop w:val="0"/>
      <w:marBottom w:val="0"/>
      <w:divBdr>
        <w:top w:val="none" w:sz="0" w:space="0" w:color="auto"/>
        <w:left w:val="none" w:sz="0" w:space="0" w:color="auto"/>
        <w:bottom w:val="none" w:sz="0" w:space="0" w:color="auto"/>
        <w:right w:val="none" w:sz="0" w:space="0" w:color="auto"/>
      </w:divBdr>
    </w:div>
    <w:div w:id="1354653470">
      <w:bodyDiv w:val="1"/>
      <w:marLeft w:val="0"/>
      <w:marRight w:val="0"/>
      <w:marTop w:val="0"/>
      <w:marBottom w:val="0"/>
      <w:divBdr>
        <w:top w:val="none" w:sz="0" w:space="0" w:color="auto"/>
        <w:left w:val="none" w:sz="0" w:space="0" w:color="auto"/>
        <w:bottom w:val="none" w:sz="0" w:space="0" w:color="auto"/>
        <w:right w:val="none" w:sz="0" w:space="0" w:color="auto"/>
      </w:divBdr>
    </w:div>
    <w:div w:id="1569534850">
      <w:bodyDiv w:val="1"/>
      <w:marLeft w:val="0"/>
      <w:marRight w:val="0"/>
      <w:marTop w:val="0"/>
      <w:marBottom w:val="0"/>
      <w:divBdr>
        <w:top w:val="none" w:sz="0" w:space="0" w:color="auto"/>
        <w:left w:val="none" w:sz="0" w:space="0" w:color="auto"/>
        <w:bottom w:val="none" w:sz="0" w:space="0" w:color="auto"/>
        <w:right w:val="none" w:sz="0" w:space="0" w:color="auto"/>
      </w:divBdr>
    </w:div>
    <w:div w:id="1644233620">
      <w:bodyDiv w:val="1"/>
      <w:marLeft w:val="0"/>
      <w:marRight w:val="0"/>
      <w:marTop w:val="0"/>
      <w:marBottom w:val="0"/>
      <w:divBdr>
        <w:top w:val="none" w:sz="0" w:space="0" w:color="auto"/>
        <w:left w:val="none" w:sz="0" w:space="0" w:color="auto"/>
        <w:bottom w:val="none" w:sz="0" w:space="0" w:color="auto"/>
        <w:right w:val="none" w:sz="0" w:space="0" w:color="auto"/>
      </w:divBdr>
    </w:div>
    <w:div w:id="19185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dia-li-lop-12-c54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ctailieu.com/bai-34-sgk-dia-li-12-c26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2021-12-06T08:29:00Z</cp:lastPrinted>
  <dcterms:created xsi:type="dcterms:W3CDTF">2021-12-06T08:56:00Z</dcterms:created>
  <dcterms:modified xsi:type="dcterms:W3CDTF">2021-12-06T08:56:00Z</dcterms:modified>
</cp:coreProperties>
</file>